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0FC12" w14:textId="77777777" w:rsidR="00A26270" w:rsidRDefault="00A26270" w:rsidP="003C60B4">
      <w:pPr>
        <w:pStyle w:val="Textbody"/>
        <w:ind w:left="720"/>
        <w:jc w:val="both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Wymagane standardy sprzętu oświetleniowego:</w:t>
      </w:r>
    </w:p>
    <w:p w14:paraId="135327D1" w14:textId="30425175" w:rsidR="00A26270" w:rsidRDefault="00A26270" w:rsidP="003C60B4">
      <w:pPr>
        <w:pStyle w:val="Textbody"/>
        <w:ind w:left="720"/>
        <w:jc w:val="both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 xml:space="preserve">• Dławiki: Dławiki powinny być dobrane do mocy lamp LED, aby zapewnić odpowiednią jakość zasilania, stabilność i żywotność źródła światła. </w:t>
      </w:r>
      <w:r w:rsidR="00E6257B">
        <w:rPr>
          <w:rFonts w:ascii="Times New Roman" w:hAnsi="Times New Roman"/>
          <w:color w:val="222222"/>
        </w:rPr>
        <w:t xml:space="preserve">Zamawiający wymaga zastosowania dławików </w:t>
      </w:r>
      <w:r>
        <w:rPr>
          <w:rFonts w:ascii="Times New Roman" w:hAnsi="Times New Roman"/>
          <w:color w:val="222222"/>
        </w:rPr>
        <w:t>o wysokiej sprawności, kompatybiln</w:t>
      </w:r>
      <w:r w:rsidR="00E6257B">
        <w:rPr>
          <w:rFonts w:ascii="Times New Roman" w:hAnsi="Times New Roman"/>
          <w:color w:val="222222"/>
        </w:rPr>
        <w:t>ych</w:t>
      </w:r>
      <w:r>
        <w:rPr>
          <w:rFonts w:ascii="Times New Roman" w:hAnsi="Times New Roman"/>
          <w:color w:val="222222"/>
        </w:rPr>
        <w:t xml:space="preserve"> z nowoczesnymi lampami LED.</w:t>
      </w:r>
    </w:p>
    <w:p w14:paraId="782B3857" w14:textId="77777777" w:rsidR="00A26270" w:rsidRDefault="00A26270" w:rsidP="003C60B4">
      <w:pPr>
        <w:pStyle w:val="Textbody"/>
        <w:ind w:left="720"/>
        <w:jc w:val="both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• Gniazda ZAHGA: Gniazda muszą być zgodne z wymaganiami oświetleniowymi i zapewniać łatwe połączenie z systemami zasilania i sterowania.</w:t>
      </w:r>
    </w:p>
    <w:p w14:paraId="2D1D6362" w14:textId="77777777" w:rsidR="00A26270" w:rsidRDefault="00A26270" w:rsidP="003C60B4">
      <w:pPr>
        <w:pStyle w:val="Textbody"/>
        <w:ind w:left="720"/>
        <w:jc w:val="both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• Moduły sterujące: Wszystkie nowe inwestycje muszą być wyposażone w podstawowe systemy sterowania (programatory czasowe), które umożliwiają zarządzanie włączaniem i wyłączaniem świateł w zależności od pory dnia.</w:t>
      </w:r>
    </w:p>
    <w:p w14:paraId="5B7A7127" w14:textId="7B3BD496" w:rsidR="00A26270" w:rsidRDefault="00A26270" w:rsidP="003C60B4">
      <w:pPr>
        <w:pStyle w:val="Textbody"/>
        <w:ind w:left="720"/>
        <w:jc w:val="both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• Kable i przewody: Wszystkie przewody i kable elektryczne powinny spełniać standardy bezpieczeństwa oraz być odporne na warunki atmosferyczne, w tym na wilgoć i niskie temperatury.</w:t>
      </w:r>
      <w:r w:rsidR="003C60B4">
        <w:rPr>
          <w:rFonts w:ascii="Times New Roman" w:hAnsi="Times New Roman"/>
          <w:color w:val="222222"/>
        </w:rPr>
        <w:t xml:space="preserve"> Izolowane</w:t>
      </w:r>
      <w:r w:rsidR="00E6257B">
        <w:rPr>
          <w:rFonts w:ascii="Times New Roman" w:hAnsi="Times New Roman"/>
          <w:color w:val="222222"/>
        </w:rPr>
        <w:t>.</w:t>
      </w:r>
    </w:p>
    <w:p w14:paraId="0353DB1C" w14:textId="77777777" w:rsidR="00A26270" w:rsidRDefault="00A26270" w:rsidP="003C60B4">
      <w:pPr>
        <w:pStyle w:val="Textbody"/>
        <w:ind w:left="720"/>
        <w:jc w:val="both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• Skrzynki sterujące: Należy zaplanować rozlokowanie skrzynek sterujących w odpowiednich miejscach, zapewniając łatwy dostęp do nich, ale jednocześnie chroniąc przed niepożądanym dostępem.</w:t>
      </w:r>
    </w:p>
    <w:p w14:paraId="654CD44D" w14:textId="57DE2902" w:rsidR="003C60B4" w:rsidRDefault="00A26270" w:rsidP="003C60B4">
      <w:pPr>
        <w:pStyle w:val="Textbody"/>
        <w:ind w:left="720"/>
        <w:jc w:val="both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• Standaryzacja komponentów: Aby zapewnić spójność w systemie, wszystkie lampy, dławiki, gniazda, sterowniki i inne komponenty powinny pochodzić od tego samego producenta lub być kompatybilne z określonymi standardam</w:t>
      </w:r>
      <w:r w:rsidR="003C60B4">
        <w:rPr>
          <w:rFonts w:ascii="Times New Roman" w:hAnsi="Times New Roman"/>
          <w:color w:val="222222"/>
        </w:rPr>
        <w:t>i.</w:t>
      </w:r>
    </w:p>
    <w:p w14:paraId="45066983" w14:textId="33DF0EB9" w:rsidR="002752EF" w:rsidRDefault="003C60B4" w:rsidP="002752EF">
      <w:pPr>
        <w:pStyle w:val="textbody0"/>
        <w:ind w:left="709"/>
        <w:jc w:val="both"/>
        <w:rPr>
          <w:rFonts w:cs="Arial"/>
          <w:color w:val="222222"/>
        </w:rPr>
      </w:pPr>
      <w:r>
        <w:rPr>
          <w:rFonts w:cs="Arial"/>
          <w:color w:val="222222"/>
        </w:rPr>
        <w:t xml:space="preserve">• Dokumentacja: </w:t>
      </w:r>
      <w:r w:rsidR="00731C7B">
        <w:rPr>
          <w:rFonts w:cs="Arial"/>
          <w:color w:val="222222"/>
        </w:rPr>
        <w:t>należy</w:t>
      </w:r>
      <w:r>
        <w:rPr>
          <w:rFonts w:cs="Arial"/>
          <w:color w:val="222222"/>
        </w:rPr>
        <w:t xml:space="preserve"> przygotować pełną dokumentację techniczną dotyczącą    każdego elementu instalacji, w tym schematy instalacji elektrycznych, instrukcje montażu i obsługi systemu.</w:t>
      </w:r>
    </w:p>
    <w:p w14:paraId="773A5EF0" w14:textId="77777777" w:rsidR="00C5343E" w:rsidRDefault="002D2DDC" w:rsidP="00C5343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ArialNarrow" w:hAnsi="Times New Roman" w:cs="Times New Roman"/>
          <w:kern w:val="0"/>
        </w:rPr>
      </w:pPr>
      <w:r w:rsidRPr="00C5343E">
        <w:rPr>
          <w:rFonts w:ascii="Times New Roman" w:hAnsi="Times New Roman" w:cs="Times New Roman"/>
          <w:color w:val="222222"/>
        </w:rPr>
        <w:t xml:space="preserve">Słupy </w:t>
      </w:r>
      <w:r w:rsidRPr="00C5343E">
        <w:rPr>
          <w:rFonts w:ascii="Times New Roman" w:eastAsia="ArialNarrow" w:hAnsi="Times New Roman" w:cs="Times New Roman"/>
          <w:kern w:val="0"/>
        </w:rPr>
        <w:t xml:space="preserve">oświetlenia ulicznego </w:t>
      </w:r>
      <w:r w:rsidRPr="00C5343E">
        <w:rPr>
          <w:rFonts w:ascii="Times New Roman" w:eastAsia="ArialNarrow" w:hAnsi="Times New Roman" w:cs="Times New Roman"/>
          <w:kern w:val="0"/>
        </w:rPr>
        <w:t xml:space="preserve">należy projektować jako </w:t>
      </w:r>
      <w:r w:rsidRPr="00C5343E">
        <w:rPr>
          <w:rFonts w:ascii="Times New Roman" w:eastAsia="ArialNarrow" w:hAnsi="Times New Roman" w:cs="Times New Roman"/>
          <w:kern w:val="0"/>
        </w:rPr>
        <w:t xml:space="preserve">stalowe </w:t>
      </w:r>
      <w:r w:rsidR="002752EF" w:rsidRPr="00C5343E">
        <w:rPr>
          <w:rFonts w:ascii="Times New Roman" w:eastAsia="ArialNarrow" w:hAnsi="Times New Roman" w:cs="Times New Roman"/>
          <w:kern w:val="0"/>
        </w:rPr>
        <w:t xml:space="preserve">proste, </w:t>
      </w:r>
      <w:r w:rsidRPr="00C5343E">
        <w:rPr>
          <w:rFonts w:ascii="Times New Roman" w:eastAsia="ArialNarrow" w:hAnsi="Times New Roman" w:cs="Times New Roman"/>
          <w:kern w:val="0"/>
        </w:rPr>
        <w:t>wysięgnikowe</w:t>
      </w:r>
      <w:r w:rsidR="002752EF" w:rsidRPr="00C5343E">
        <w:rPr>
          <w:rFonts w:ascii="Times New Roman" w:eastAsia="ArialNarrow" w:hAnsi="Times New Roman" w:cs="Times New Roman"/>
          <w:kern w:val="0"/>
        </w:rPr>
        <w:t xml:space="preserve"> </w:t>
      </w:r>
    </w:p>
    <w:p w14:paraId="29EB5E0D" w14:textId="77777777" w:rsidR="00C5343E" w:rsidRDefault="002752EF" w:rsidP="00C5343E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ArialNarrow" w:hAnsi="Times New Roman" w:cs="Times New Roman"/>
          <w:kern w:val="0"/>
        </w:rPr>
      </w:pPr>
      <w:r w:rsidRPr="00C5343E">
        <w:rPr>
          <w:rFonts w:ascii="Times New Roman" w:eastAsia="ArialNarrow" w:hAnsi="Times New Roman" w:cs="Times New Roman"/>
          <w:kern w:val="0"/>
        </w:rPr>
        <w:t xml:space="preserve">oraz z wysięgnikami dwuramiennymi i jednoramiennymi. </w:t>
      </w:r>
    </w:p>
    <w:p w14:paraId="357F7763" w14:textId="086DE50F" w:rsidR="002D2DDC" w:rsidRDefault="002D2DDC" w:rsidP="00C5343E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ArialNarrow" w:hAnsi="Times New Roman" w:cs="Times New Roman"/>
          <w:kern w:val="0"/>
        </w:rPr>
      </w:pPr>
      <w:r w:rsidRPr="00C5343E">
        <w:rPr>
          <w:rFonts w:ascii="Times New Roman" w:eastAsia="ArialNarrow" w:hAnsi="Times New Roman" w:cs="Times New Roman"/>
          <w:kern w:val="0"/>
        </w:rPr>
        <w:t>Do posadowienia słupów stosować</w:t>
      </w:r>
      <w:r w:rsidR="002752EF" w:rsidRPr="00C5343E">
        <w:rPr>
          <w:rFonts w:ascii="Times New Roman" w:eastAsia="ArialNarrow" w:hAnsi="Times New Roman" w:cs="Times New Roman"/>
          <w:kern w:val="0"/>
        </w:rPr>
        <w:t xml:space="preserve"> </w:t>
      </w:r>
      <w:r w:rsidRPr="00C5343E">
        <w:rPr>
          <w:rFonts w:ascii="Times New Roman" w:eastAsia="ArialNarrow" w:hAnsi="Times New Roman" w:cs="Times New Roman"/>
          <w:kern w:val="0"/>
        </w:rPr>
        <w:t>prefabrykowany fundament</w:t>
      </w:r>
      <w:r w:rsidR="002752EF" w:rsidRPr="00C5343E">
        <w:rPr>
          <w:rFonts w:ascii="Times New Roman" w:eastAsia="ArialNarrow" w:hAnsi="Times New Roman" w:cs="Times New Roman"/>
          <w:kern w:val="0"/>
        </w:rPr>
        <w:t xml:space="preserve"> </w:t>
      </w:r>
      <w:r w:rsidRPr="00C5343E">
        <w:rPr>
          <w:rFonts w:ascii="Times New Roman" w:eastAsia="ArialNarrow" w:hAnsi="Times New Roman" w:cs="Times New Roman"/>
          <w:kern w:val="0"/>
        </w:rPr>
        <w:t xml:space="preserve">betonowy </w:t>
      </w:r>
      <w:r w:rsidR="00C5343E">
        <w:rPr>
          <w:rFonts w:ascii="Times New Roman" w:eastAsia="ArialNarrow" w:hAnsi="Times New Roman" w:cs="Times New Roman"/>
          <w:kern w:val="0"/>
        </w:rPr>
        <w:t xml:space="preserve">o </w:t>
      </w:r>
      <w:r w:rsidRPr="00C5343E">
        <w:rPr>
          <w:rFonts w:ascii="Times New Roman" w:eastAsia="ArialNarrow" w:hAnsi="Times New Roman" w:cs="Times New Roman"/>
          <w:kern w:val="0"/>
        </w:rPr>
        <w:t>głębokość posadowienia 1,5</w:t>
      </w:r>
      <w:r w:rsidR="002752EF" w:rsidRPr="00C5343E">
        <w:rPr>
          <w:rFonts w:ascii="Times New Roman" w:eastAsia="ArialNarrow" w:hAnsi="Times New Roman" w:cs="Times New Roman"/>
          <w:kern w:val="0"/>
        </w:rPr>
        <w:t xml:space="preserve"> </w:t>
      </w:r>
      <w:r w:rsidRPr="00C5343E">
        <w:rPr>
          <w:rFonts w:ascii="Times New Roman" w:eastAsia="ArialNarrow" w:hAnsi="Times New Roman" w:cs="Times New Roman"/>
          <w:kern w:val="0"/>
        </w:rPr>
        <w:t>m.</w:t>
      </w:r>
    </w:p>
    <w:p w14:paraId="44E623ED" w14:textId="77777777" w:rsidR="00C5343E" w:rsidRDefault="00C5343E" w:rsidP="00C5343E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ArialNarrow" w:hAnsi="Times New Roman" w:cs="Times New Roman"/>
          <w:kern w:val="0"/>
        </w:rPr>
      </w:pPr>
    </w:p>
    <w:p w14:paraId="69260FA2" w14:textId="6BAE2DD4" w:rsidR="00C5343E" w:rsidRPr="00E6257B" w:rsidRDefault="002752EF" w:rsidP="00E6257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eastAsia="ArialNarrow" w:hAnsi="Times New Roman" w:cs="Times New Roman"/>
          <w:kern w:val="0"/>
        </w:rPr>
      </w:pPr>
      <w:r w:rsidRPr="00C5343E">
        <w:rPr>
          <w:rFonts w:ascii="Times New Roman" w:eastAsia="ArialNarrow" w:hAnsi="Times New Roman" w:cs="Times New Roman"/>
          <w:kern w:val="0"/>
        </w:rPr>
        <w:t>Linię oświetleniową projektować</w:t>
      </w:r>
      <w:r w:rsidR="00731C7B" w:rsidRPr="00C5343E">
        <w:rPr>
          <w:rFonts w:ascii="Times New Roman" w:eastAsia="ArialNarrow" w:hAnsi="Times New Roman" w:cs="Times New Roman"/>
          <w:kern w:val="0"/>
        </w:rPr>
        <w:t xml:space="preserve"> na oprawach URBINO Led ED </w:t>
      </w:r>
      <w:r w:rsidR="00E6257B">
        <w:rPr>
          <w:rFonts w:ascii="Times New Roman" w:eastAsia="ArialNarrow" w:hAnsi="Times New Roman" w:cs="Times New Roman"/>
          <w:kern w:val="0"/>
        </w:rPr>
        <w:t xml:space="preserve">lub równoważnych, kolor </w:t>
      </w:r>
      <w:r w:rsidR="00731C7B" w:rsidRPr="00C5343E">
        <w:rPr>
          <w:rFonts w:ascii="Times New Roman" w:eastAsia="ArialNarrow" w:hAnsi="Times New Roman" w:cs="Times New Roman"/>
          <w:kern w:val="0"/>
        </w:rPr>
        <w:t xml:space="preserve">szary, II klasa, </w:t>
      </w:r>
      <w:r w:rsidR="00C5343E" w:rsidRPr="00E6257B">
        <w:rPr>
          <w:rFonts w:ascii="Times New Roman" w:eastAsia="ArialNarrow" w:hAnsi="Times New Roman" w:cs="Times New Roman"/>
          <w:kern w:val="0"/>
        </w:rPr>
        <w:t xml:space="preserve">II </w:t>
      </w:r>
      <w:r w:rsidR="00731C7B" w:rsidRPr="00E6257B">
        <w:rPr>
          <w:rFonts w:ascii="Times New Roman" w:eastAsia="ArialNarrow" w:hAnsi="Times New Roman" w:cs="Times New Roman"/>
          <w:kern w:val="0"/>
        </w:rPr>
        <w:t>klasa ochronności.</w:t>
      </w:r>
      <w:r w:rsidR="00AD3136" w:rsidRPr="00E6257B">
        <w:rPr>
          <w:rFonts w:ascii="Times New Roman" w:eastAsia="ArialNarrow" w:hAnsi="Times New Roman" w:cs="Times New Roman"/>
          <w:kern w:val="0"/>
        </w:rPr>
        <w:t xml:space="preserve"> Każdą oprawę należy zabezpieczyć wkładką bezpiecznikową. </w:t>
      </w:r>
      <w:r w:rsidR="00C5343E" w:rsidRPr="00E6257B">
        <w:rPr>
          <w:rFonts w:ascii="Times New Roman" w:eastAsia="ArialNarrow" w:hAnsi="Times New Roman" w:cs="Times New Roman"/>
          <w:kern w:val="0"/>
        </w:rPr>
        <w:t xml:space="preserve">   </w:t>
      </w:r>
    </w:p>
    <w:p w14:paraId="6F547813" w14:textId="6C208B1B" w:rsidR="00C5343E" w:rsidRDefault="00C5343E" w:rsidP="00C5343E">
      <w:pPr>
        <w:autoSpaceDE w:val="0"/>
        <w:autoSpaceDN w:val="0"/>
        <w:adjustRightInd w:val="0"/>
        <w:spacing w:after="0" w:line="240" w:lineRule="auto"/>
        <w:ind w:left="349"/>
        <w:jc w:val="both"/>
        <w:rPr>
          <w:rFonts w:ascii="Times New Roman" w:hAnsi="Times New Roman" w:cs="Times New Roman"/>
          <w:color w:val="222222"/>
        </w:rPr>
      </w:pPr>
      <w:r>
        <w:rPr>
          <w:rFonts w:ascii="Times New Roman" w:eastAsia="ArialNarrow" w:hAnsi="Times New Roman" w:cs="Times New Roman"/>
          <w:kern w:val="0"/>
        </w:rPr>
        <w:t xml:space="preserve">      </w:t>
      </w:r>
      <w:r w:rsidR="00E6257B">
        <w:rPr>
          <w:rFonts w:ascii="Times New Roman" w:eastAsia="ArialNarrow" w:hAnsi="Times New Roman" w:cs="Times New Roman"/>
          <w:kern w:val="0"/>
        </w:rPr>
        <w:t xml:space="preserve">    </w:t>
      </w:r>
      <w:r w:rsidR="00AD3136" w:rsidRPr="00C5343E">
        <w:rPr>
          <w:rFonts w:ascii="Times New Roman" w:eastAsia="ArialNarrow" w:hAnsi="Times New Roman" w:cs="Times New Roman"/>
          <w:kern w:val="0"/>
        </w:rPr>
        <w:t xml:space="preserve">Stanowiska słupowe winny być uziemione. </w:t>
      </w:r>
      <w:r>
        <w:rPr>
          <w:rFonts w:ascii="Times New Roman" w:eastAsia="ArialNarrow" w:hAnsi="Times New Roman" w:cs="Times New Roman"/>
          <w:kern w:val="0"/>
        </w:rPr>
        <w:t>O</w:t>
      </w:r>
      <w:r w:rsidR="003C60B4" w:rsidRPr="00AD3136">
        <w:rPr>
          <w:rFonts w:ascii="Times New Roman" w:hAnsi="Times New Roman" w:cs="Times New Roman"/>
          <w:color w:val="222222"/>
        </w:rPr>
        <w:t xml:space="preserve">prawy o </w:t>
      </w:r>
      <w:r w:rsidRPr="00AD3136">
        <w:rPr>
          <w:rFonts w:ascii="Times New Roman" w:hAnsi="Times New Roman" w:cs="Times New Roman"/>
          <w:color w:val="222222"/>
        </w:rPr>
        <w:t>temperaturze barwowej</w:t>
      </w:r>
      <w:r w:rsidR="003C60B4" w:rsidRPr="00AD3136">
        <w:rPr>
          <w:rFonts w:ascii="Times New Roman" w:hAnsi="Times New Roman" w:cs="Times New Roman"/>
          <w:color w:val="222222"/>
        </w:rPr>
        <w:t xml:space="preserve"> źródła </w:t>
      </w:r>
      <w:r>
        <w:rPr>
          <w:rFonts w:ascii="Times New Roman" w:hAnsi="Times New Roman" w:cs="Times New Roman"/>
          <w:color w:val="222222"/>
        </w:rPr>
        <w:t xml:space="preserve"> </w:t>
      </w:r>
    </w:p>
    <w:p w14:paraId="2AB5C5A8" w14:textId="058157D2" w:rsidR="003C60B4" w:rsidRDefault="00C5343E" w:rsidP="00C5343E">
      <w:pPr>
        <w:autoSpaceDE w:val="0"/>
        <w:autoSpaceDN w:val="0"/>
        <w:adjustRightInd w:val="0"/>
        <w:spacing w:after="0" w:line="240" w:lineRule="auto"/>
        <w:ind w:left="349"/>
        <w:jc w:val="both"/>
        <w:rPr>
          <w:rFonts w:ascii="Times New Roman" w:hAnsi="Times New Roman" w:cs="Times New Roman"/>
          <w:color w:val="222222"/>
        </w:rPr>
      </w:pPr>
      <w:r>
        <w:rPr>
          <w:rFonts w:ascii="Times New Roman" w:hAnsi="Times New Roman" w:cs="Times New Roman"/>
          <w:color w:val="222222"/>
        </w:rPr>
        <w:t xml:space="preserve">      </w:t>
      </w:r>
      <w:r w:rsidR="00E6257B">
        <w:rPr>
          <w:rFonts w:ascii="Times New Roman" w:hAnsi="Times New Roman" w:cs="Times New Roman"/>
          <w:color w:val="222222"/>
        </w:rPr>
        <w:t xml:space="preserve">    </w:t>
      </w:r>
      <w:r w:rsidR="003C60B4" w:rsidRPr="00AD3136">
        <w:rPr>
          <w:rFonts w:ascii="Times New Roman" w:hAnsi="Times New Roman" w:cs="Times New Roman"/>
          <w:color w:val="222222"/>
        </w:rPr>
        <w:t>światła 4000K ±10%.</w:t>
      </w:r>
    </w:p>
    <w:p w14:paraId="47D3E474" w14:textId="77777777" w:rsidR="00C5343E" w:rsidRDefault="00C5343E" w:rsidP="00C5343E">
      <w:pPr>
        <w:autoSpaceDE w:val="0"/>
        <w:autoSpaceDN w:val="0"/>
        <w:adjustRightInd w:val="0"/>
        <w:spacing w:after="0" w:line="240" w:lineRule="auto"/>
        <w:ind w:left="349"/>
        <w:jc w:val="both"/>
        <w:rPr>
          <w:rFonts w:ascii="Times New Roman" w:hAnsi="Times New Roman" w:cs="Times New Roman"/>
          <w:color w:val="222222"/>
        </w:rPr>
      </w:pPr>
    </w:p>
    <w:p w14:paraId="47887E49" w14:textId="582BB0DC" w:rsidR="007D02CC" w:rsidRDefault="007D02CC" w:rsidP="00C5343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ArialNarrow" w:hAnsi="Times New Roman" w:cs="Times New Roman"/>
          <w:kern w:val="0"/>
        </w:rPr>
      </w:pPr>
      <w:r w:rsidRPr="00C5343E">
        <w:rPr>
          <w:rFonts w:ascii="Times New Roman" w:eastAsia="ArialNarrow" w:hAnsi="Times New Roman" w:cs="Times New Roman"/>
          <w:kern w:val="0"/>
        </w:rPr>
        <w:t>Oznaczenie wysięgników</w:t>
      </w:r>
      <w:r w:rsidR="00690F0A" w:rsidRPr="00C5343E">
        <w:rPr>
          <w:rFonts w:ascii="Times New Roman" w:eastAsia="ArialNarrow" w:hAnsi="Times New Roman" w:cs="Times New Roman"/>
          <w:kern w:val="0"/>
        </w:rPr>
        <w:t xml:space="preserve"> oświetlenia drogowego projektować </w:t>
      </w:r>
      <w:r w:rsidRPr="00C5343E">
        <w:rPr>
          <w:rFonts w:ascii="Times New Roman" w:eastAsia="ArialNarrow" w:hAnsi="Times New Roman" w:cs="Times New Roman"/>
          <w:kern w:val="0"/>
        </w:rPr>
        <w:t xml:space="preserve">w nawiązaniu do </w:t>
      </w:r>
      <w:r w:rsidRPr="00C5343E">
        <w:rPr>
          <w:rFonts w:ascii="Times New Roman" w:eastAsia="ArialNarrow" w:hAnsi="Times New Roman" w:cs="Times New Roman"/>
          <w:kern w:val="0"/>
        </w:rPr>
        <w:t>„Standaryzacji formatu tablic informacyjnych i ostrzegawczych w TAURON Dystrybucja S.A. –zastosowanie zewnętrzne”</w:t>
      </w:r>
      <w:r w:rsidR="00690F0A" w:rsidRPr="00C5343E">
        <w:rPr>
          <w:rFonts w:ascii="Times New Roman" w:eastAsia="ArialNarrow" w:hAnsi="Times New Roman" w:cs="Times New Roman"/>
          <w:kern w:val="0"/>
        </w:rPr>
        <w:t>.</w:t>
      </w:r>
    </w:p>
    <w:p w14:paraId="62AA8177" w14:textId="77777777" w:rsidR="00C5343E" w:rsidRDefault="00C5343E" w:rsidP="00C5343E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ArialNarrow" w:hAnsi="Times New Roman" w:cs="Times New Roman"/>
          <w:kern w:val="0"/>
        </w:rPr>
      </w:pPr>
    </w:p>
    <w:p w14:paraId="172B5850" w14:textId="0E3A588F" w:rsidR="00690F0A" w:rsidRPr="00C5343E" w:rsidRDefault="00690F0A" w:rsidP="00C5343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ArialNarrow" w:hAnsi="Times New Roman" w:cs="Times New Roman"/>
          <w:kern w:val="0"/>
        </w:rPr>
      </w:pPr>
      <w:r w:rsidRPr="00C5343E">
        <w:rPr>
          <w:rFonts w:ascii="Times New Roman" w:eastAsia="ArialNarrow" w:hAnsi="Times New Roman" w:cs="Times New Roman"/>
          <w:kern w:val="0"/>
        </w:rPr>
        <w:t>W sposób trwały i widoczny oznaczyć w miejscu podpięcia do sieci TD S.A. przewód oświetlenia ulicznego będący własnością Inwestora.</w:t>
      </w:r>
    </w:p>
    <w:p w14:paraId="206F3140" w14:textId="77777777" w:rsidR="00192F10" w:rsidRDefault="00192F10" w:rsidP="003C60B4">
      <w:pPr>
        <w:jc w:val="both"/>
      </w:pPr>
    </w:p>
    <w:sectPr w:rsidR="00192F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Narrow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397DE7"/>
    <w:multiLevelType w:val="hybridMultilevel"/>
    <w:tmpl w:val="AFC8257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53439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270"/>
    <w:rsid w:val="00192F10"/>
    <w:rsid w:val="00215C7C"/>
    <w:rsid w:val="002752EF"/>
    <w:rsid w:val="002D2DDC"/>
    <w:rsid w:val="003C60B4"/>
    <w:rsid w:val="00690F0A"/>
    <w:rsid w:val="00731C7B"/>
    <w:rsid w:val="007D02CC"/>
    <w:rsid w:val="00A26270"/>
    <w:rsid w:val="00AD3136"/>
    <w:rsid w:val="00AF0D60"/>
    <w:rsid w:val="00B94CE8"/>
    <w:rsid w:val="00C5343E"/>
    <w:rsid w:val="00DD4133"/>
    <w:rsid w:val="00E5323E"/>
    <w:rsid w:val="00E6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82456"/>
  <w15:chartTrackingRefBased/>
  <w15:docId w15:val="{2EE1F0BA-34FA-49D4-A934-28097980D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262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62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62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62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62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62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62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62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62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62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62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62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627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627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62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62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62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62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62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62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62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62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62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62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627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627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62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627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6270"/>
    <w:rPr>
      <w:b/>
      <w:bCs/>
      <w:smallCaps/>
      <w:color w:val="0F4761" w:themeColor="accent1" w:themeShade="BF"/>
      <w:spacing w:val="5"/>
    </w:rPr>
  </w:style>
  <w:style w:type="paragraph" w:customStyle="1" w:styleId="Textbody">
    <w:name w:val="Text body"/>
    <w:basedOn w:val="Normalny"/>
    <w:rsid w:val="00A26270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Mangal"/>
      <w:kern w:val="3"/>
      <w:lang w:eastAsia="zh-CN" w:bidi="hi-IN"/>
      <w14:ligatures w14:val="none"/>
    </w:rPr>
  </w:style>
  <w:style w:type="paragraph" w:customStyle="1" w:styleId="textbody0">
    <w:name w:val="textbody"/>
    <w:basedOn w:val="Normalny"/>
    <w:rsid w:val="003C6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7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326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Kurbanly</dc:creator>
  <cp:keywords/>
  <dc:description/>
  <cp:lastModifiedBy>Agnieszka Kurbanly</cp:lastModifiedBy>
  <cp:revision>6</cp:revision>
  <cp:lastPrinted>2025-06-23T11:56:00Z</cp:lastPrinted>
  <dcterms:created xsi:type="dcterms:W3CDTF">2025-06-18T09:14:00Z</dcterms:created>
  <dcterms:modified xsi:type="dcterms:W3CDTF">2025-06-23T12:50:00Z</dcterms:modified>
</cp:coreProperties>
</file>